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drawing>
          <wp:inline xmlns:a="http://schemas.openxmlformats.org/drawingml/2006/main" xmlns:pic="http://schemas.openxmlformats.org/drawingml/2006/picture">
            <wp:extent cx="1463040" cy="27219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ckup-ligh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2721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/>
      </w:pPr>
      <w:r>
        <w:rPr>
          <w:b/>
          <w:color w:val="1A1A18"/>
          <w:sz w:val="52"/>
        </w:rPr>
        <w:t>Quotation</w:t>
      </w:r>
    </w:p>
    <w:p>
      <w:pPr>
        <w:spacing w:after="80"/>
      </w:pPr>
      <w:r>
        <w:rPr>
          <w:color w:val="8A8578"/>
          <w:sz w:val="20"/>
        </w:rPr>
        <w:t>Schedule of works &amp; quotation template</w:t>
      </w:r>
    </w:p>
    <w:p>
      <w:pPr>
        <w:spacing w:before="40" w:after="160"/>
      </w:pPr>
      <w:r>
        <w:rPr>
          <w:color w:val="B87514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r>
        <w:rPr>
          <w:i/>
          <w:color w:val="8A8578"/>
          <w:sz w:val="16"/>
        </w:rPr>
        <w:t>Replace the details below with your own. This Word version has no formulas — totals must be added up by hand, so use the Excel version if you want them calculated. Delete this line before sending.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016"/>
            <w:shd w:val="clear" w:color="auto" w:fill="F7F5F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  <w:r>
              <w:rPr>
                <w:b/>
                <w:color w:val="8A8578"/>
                <w:sz w:val="16"/>
              </w:rPr>
              <w:t>From (your company)</w:t>
            </w:r>
          </w:p>
        </w:tc>
        <w:tc>
          <w:tcPr>
            <w:tcW w:type="dxa" w:w="345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/>
        </w:tc>
        <w:tc>
          <w:tcPr>
            <w:tcW w:type="dxa" w:w="2016"/>
            <w:shd w:val="clear" w:color="auto" w:fill="F7F5F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  <w:r>
              <w:rPr>
                <w:b/>
                <w:color w:val="8A8578"/>
                <w:sz w:val="16"/>
              </w:rPr>
              <w:t>Client</w:t>
            </w:r>
          </w:p>
        </w:tc>
        <w:tc>
          <w:tcPr>
            <w:tcW w:type="dxa" w:w="345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/>
        </w:tc>
      </w:tr>
      <w:tr>
        <w:tc>
          <w:tcPr>
            <w:tcW w:type="dxa" w:w="2016"/>
            <w:shd w:val="clear" w:color="auto" w:fill="F7F5F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  <w:r>
              <w:rPr>
                <w:b/>
                <w:color w:val="8A8578"/>
                <w:sz w:val="16"/>
              </w:rPr>
              <w:t>Address</w:t>
            </w:r>
          </w:p>
        </w:tc>
        <w:tc>
          <w:tcPr>
            <w:tcW w:type="dxa" w:w="345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/>
        </w:tc>
        <w:tc>
          <w:tcPr>
            <w:tcW w:type="dxa" w:w="2016"/>
            <w:shd w:val="clear" w:color="auto" w:fill="F7F5F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  <w:r>
              <w:rPr>
                <w:b/>
                <w:color w:val="8A8578"/>
                <w:sz w:val="16"/>
              </w:rPr>
              <w:t>Property address</w:t>
            </w:r>
          </w:p>
        </w:tc>
        <w:tc>
          <w:tcPr>
            <w:tcW w:type="dxa" w:w="345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/>
        </w:tc>
      </w:tr>
      <w:tr>
        <w:tc>
          <w:tcPr>
            <w:tcW w:type="dxa" w:w="2016"/>
            <w:shd w:val="clear" w:color="auto" w:fill="F7F5F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  <w:r>
              <w:rPr>
                <w:b/>
                <w:color w:val="8A8578"/>
                <w:sz w:val="16"/>
              </w:rPr>
              <w:t>Company no.</w:t>
            </w:r>
          </w:p>
        </w:tc>
        <w:tc>
          <w:tcPr>
            <w:tcW w:type="dxa" w:w="345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/>
        </w:tc>
        <w:tc>
          <w:tcPr>
            <w:tcW w:type="dxa" w:w="2016"/>
            <w:shd w:val="clear" w:color="auto" w:fill="F7F5F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  <w:r>
              <w:rPr>
                <w:b/>
                <w:color w:val="8A8578"/>
                <w:sz w:val="16"/>
              </w:rPr>
              <w:t>Quote reference</w:t>
            </w:r>
          </w:p>
        </w:tc>
        <w:tc>
          <w:tcPr>
            <w:tcW w:type="dxa" w:w="345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/>
        </w:tc>
      </w:tr>
      <w:tr>
        <w:tc>
          <w:tcPr>
            <w:tcW w:type="dxa" w:w="2016"/>
            <w:shd w:val="clear" w:color="auto" w:fill="F7F5F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  <w:r>
              <w:rPr>
                <w:b/>
                <w:color w:val="8A8578"/>
                <w:sz w:val="16"/>
              </w:rPr>
              <w:t>Email / phone</w:t>
            </w:r>
          </w:p>
        </w:tc>
        <w:tc>
          <w:tcPr>
            <w:tcW w:type="dxa" w:w="345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/>
        </w:tc>
        <w:tc>
          <w:tcPr>
            <w:tcW w:type="dxa" w:w="2016"/>
            <w:shd w:val="clear" w:color="auto" w:fill="F7F5F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  <w:r>
              <w:rPr>
                <w:b/>
                <w:color w:val="8A8578"/>
                <w:sz w:val="16"/>
              </w:rPr>
              <w:t>Date</w:t>
            </w:r>
          </w:p>
        </w:tc>
        <w:tc>
          <w:tcPr>
            <w:tcW w:type="dxa" w:w="345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/>
        </w:tc>
      </w:tr>
    </w:tbl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SCHEDULE OF WORKS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1704"/>
            <w:shd w:val="clear" w:color="auto" w:fill="1A1A18"/>
            <w:tcBorders>
              <w:top w:val="single" w:sz="4" w:color="1A1A18"/>
              <w:bottom w:val="single" w:sz="4" w:color="1A1A18"/>
              <w:left w:val="single" w:sz="4" w:color="1A1A18"/>
              <w:right w:val="single" w:sz="4" w:color="1A1A18"/>
            </w:tcBorders>
          </w:tcPr>
          <w:p>
            <w:pPr>
              <w:spacing w:before="60" w:after="60"/>
            </w:pPr>
            <w:r>
              <w:rPr>
                <w:b/>
                <w:color w:val="FFFFFF"/>
                <w:sz w:val="17"/>
              </w:rPr>
              <w:t>Item</w:t>
            </w:r>
          </w:p>
        </w:tc>
        <w:tc>
          <w:tcPr>
            <w:tcW w:type="dxa" w:w="1704"/>
            <w:shd w:val="clear" w:color="auto" w:fill="1A1A18"/>
            <w:tcBorders>
              <w:top w:val="single" w:sz="4" w:color="1A1A18"/>
              <w:bottom w:val="single" w:sz="4" w:color="1A1A18"/>
              <w:left w:val="single" w:sz="4" w:color="1A1A18"/>
              <w:right w:val="single" w:sz="4" w:color="1A1A18"/>
            </w:tcBorders>
          </w:tcPr>
          <w:p>
            <w:pPr>
              <w:spacing w:before="60" w:after="60"/>
            </w:pPr>
            <w:r>
              <w:rPr>
                <w:b/>
                <w:color w:val="FFFFFF"/>
                <w:sz w:val="17"/>
              </w:rPr>
              <w:t>Description of works</w:t>
            </w:r>
          </w:p>
        </w:tc>
        <w:tc>
          <w:tcPr>
            <w:tcW w:type="dxa" w:w="1704"/>
            <w:shd w:val="clear" w:color="auto" w:fill="1A1A18"/>
            <w:tcBorders>
              <w:top w:val="single" w:sz="4" w:color="1A1A18"/>
              <w:bottom w:val="single" w:sz="4" w:color="1A1A18"/>
              <w:left w:val="single" w:sz="4" w:color="1A1A18"/>
              <w:right w:val="single" w:sz="4" w:color="1A1A1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1704"/>
            <w:shd w:val="clear" w:color="auto" w:fill="1A1A18"/>
            <w:tcBorders>
              <w:top w:val="single" w:sz="4" w:color="1A1A18"/>
              <w:bottom w:val="single" w:sz="4" w:color="1A1A18"/>
              <w:left w:val="single" w:sz="4" w:color="1A1A18"/>
              <w:right w:val="single" w:sz="4" w:color="1A1A1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FFFFFF"/>
                <w:sz w:val="17"/>
              </w:rPr>
              <w:t>Unit</w:t>
            </w:r>
          </w:p>
        </w:tc>
        <w:tc>
          <w:tcPr>
            <w:tcW w:type="dxa" w:w="1704"/>
            <w:shd w:val="clear" w:color="auto" w:fill="1A1A18"/>
            <w:tcBorders>
              <w:top w:val="single" w:sz="4" w:color="1A1A18"/>
              <w:bottom w:val="single" w:sz="4" w:color="1A1A18"/>
              <w:left w:val="single" w:sz="4" w:color="1A1A18"/>
              <w:right w:val="single" w:sz="4" w:color="1A1A1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FFFFFF"/>
                <w:sz w:val="17"/>
              </w:rPr>
              <w:t>Rate £</w:t>
            </w:r>
          </w:p>
        </w:tc>
        <w:tc>
          <w:tcPr>
            <w:tcW w:type="dxa" w:w="1704"/>
            <w:shd w:val="clear" w:color="auto" w:fill="1A1A18"/>
            <w:tcBorders>
              <w:top w:val="single" w:sz="4" w:color="1A1A18"/>
              <w:bottom w:val="single" w:sz="4" w:color="1A1A18"/>
              <w:left w:val="single" w:sz="4" w:color="1A1A18"/>
              <w:right w:val="single" w:sz="4" w:color="1A1A1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FFFFFF"/>
                <w:sz w:val="17"/>
              </w:rPr>
              <w:t>Total £</w:t>
            </w: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B87514"/>
                <w:sz w:val="17"/>
              </w:rPr>
              <w:t>01</w:t>
            </w: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1A1A18"/>
                <w:sz w:val="19"/>
              </w:rPr>
              <w:t>Preliminaries &amp; site set-up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8A8578"/>
                <w:sz w:val="17"/>
              </w:rPr>
              <w:t>Subtotal — Preliminaries &amp; site set-up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B87514"/>
                <w:sz w:val="17"/>
              </w:rPr>
              <w:t>02</w:t>
            </w: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1A1A18"/>
                <w:sz w:val="19"/>
              </w:rPr>
              <w:t>Demolition &amp; enabling works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8A8578"/>
                <w:sz w:val="17"/>
              </w:rPr>
              <w:t>Subtotal — Demolition &amp; enabling works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B87514"/>
                <w:sz w:val="17"/>
              </w:rPr>
              <w:t>03</w:t>
            </w: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1A1A18"/>
                <w:sz w:val="19"/>
              </w:rPr>
              <w:t>Groundworks &amp; foundations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8A8578"/>
                <w:sz w:val="17"/>
              </w:rPr>
              <w:t>Subtotal — Groundworks &amp; foundations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B87514"/>
                <w:sz w:val="17"/>
              </w:rPr>
              <w:t>04</w:t>
            </w: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1A1A18"/>
                <w:sz w:val="19"/>
              </w:rPr>
              <w:t>Structure, walls &amp; roof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8A8578"/>
                <w:sz w:val="17"/>
              </w:rPr>
              <w:t>Subtotal — Structure, walls &amp; roof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B87514"/>
                <w:sz w:val="17"/>
              </w:rPr>
              <w:t>05</w:t>
            </w: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1A1A18"/>
                <w:sz w:val="19"/>
              </w:rPr>
              <w:t>Windows, doors &amp; glazing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8A8578"/>
                <w:sz w:val="17"/>
              </w:rPr>
              <w:t>Subtotal — Windows, doors &amp; glazing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B87514"/>
                <w:sz w:val="17"/>
              </w:rPr>
              <w:t>06</w:t>
            </w: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1A1A18"/>
                <w:sz w:val="19"/>
              </w:rPr>
              <w:t>Plastering &amp; floor finishes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8A8578"/>
                <w:sz w:val="17"/>
              </w:rPr>
              <w:t>Subtotal — Plastering &amp; floor finishes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B87514"/>
                <w:sz w:val="17"/>
              </w:rPr>
              <w:t>07</w:t>
            </w: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1A1A18"/>
                <w:sz w:val="19"/>
              </w:rPr>
              <w:t>Joinery &amp; second fix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8A8578"/>
                <w:sz w:val="17"/>
              </w:rPr>
              <w:t>Subtotal — Joinery &amp; second fix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B87514"/>
                <w:sz w:val="17"/>
              </w:rPr>
              <w:t>08</w:t>
            </w: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1A1A18"/>
                <w:sz w:val="19"/>
              </w:rPr>
              <w:t>Heating &amp; plumbing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8A8578"/>
                <w:sz w:val="17"/>
              </w:rPr>
              <w:t>Subtotal — Heating &amp; plumbing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B87514"/>
                <w:sz w:val="17"/>
              </w:rPr>
              <w:t>09</w:t>
            </w: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1A1A18"/>
                <w:sz w:val="19"/>
              </w:rPr>
              <w:t>Electrical installation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8A8578"/>
                <w:sz w:val="17"/>
              </w:rPr>
              <w:t>Subtotal — Electrical installation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B87514"/>
                <w:sz w:val="17"/>
              </w:rPr>
              <w:t>10</w:t>
            </w: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1A1A18"/>
                <w:sz w:val="19"/>
              </w:rPr>
              <w:t>Decoration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8A8578"/>
                <w:sz w:val="17"/>
              </w:rPr>
              <w:t>Subtotal — Decoration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B87514"/>
                <w:sz w:val="17"/>
              </w:rPr>
              <w:t>11</w:t>
            </w: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  <w:r>
              <w:rPr>
                <w:b/>
                <w:color w:val="1A1A18"/>
                <w:sz w:val="19"/>
              </w:rPr>
              <w:t>External works &amp; make-good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  <w:shd w:val="clear" w:color="auto" w:fill="F7F5F0"/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  <w:tr>
        <w:tc>
          <w:tcPr>
            <w:tcW w:type="dxa" w:w="72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561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  <w:jc w:val="right"/>
            </w:pPr>
            <w:r>
              <w:rPr>
                <w:b/>
                <w:color w:val="8A8578"/>
                <w:sz w:val="17"/>
              </w:rPr>
              <w:t>Subtotal — External works &amp; make-good</w:t>
            </w: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864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296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  <w:tc>
          <w:tcPr>
            <w:tcW w:type="dxa" w:w="1440"/>
            <w:tcBorders>
              <w:top w:val="single" w:sz="4" w:color="D8D3C8"/>
              <w:bottom w:val="single" w:sz="4" w:color="D8D3C8"/>
              <w:left w:val="single" w:sz="4" w:color="D8D3C8"/>
              <w:right w:val="single" w:sz="4" w:color="D8D3C8"/>
            </w:tcBorders>
          </w:tcPr>
          <w:p>
            <w:pPr>
              <w:spacing w:before="60" w:after="60"/>
            </w:pP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8064"/>
          </w:tcPr>
          <w:p>
            <w:pPr>
              <w:spacing w:before="60" w:after="60"/>
              <w:jc w:val="right"/>
            </w:pPr>
            <w:r>
              <w:rPr>
                <w:b/>
                <w:color w:val="1A1A18"/>
                <w:sz w:val="20"/>
              </w:rPr>
              <w:t>Tender sum (excluding VAT)</w:t>
            </w:r>
          </w:p>
        </w:tc>
        <w:tc>
          <w:tcPr>
            <w:tcW w:type="dxa" w:w="2736"/>
            <w:tcBorders>
              <w:top w:val="single" w:sz="4" w:color="1A1A18"/>
            </w:tcBorders>
            <w:shd w:val="clear" w:color="auto" w:fill="F7F5F0"/>
          </w:tcPr>
          <w:p>
            <w:pPr>
              <w:spacing w:before="60" w:after="60"/>
              <w:jc w:val="right"/>
            </w:pPr>
            <w:r>
              <w:rPr>
                <w:b/>
                <w:color w:val="1A1A18"/>
                <w:sz w:val="20"/>
              </w:rPr>
              <w:t>£</w:t>
            </w:r>
          </w:p>
        </w:tc>
      </w:tr>
      <w:tr>
        <w:tc>
          <w:tcPr>
            <w:tcW w:type="dxa" w:w="8064"/>
          </w:tcPr>
          <w:p>
            <w:pPr>
              <w:spacing w:before="60" w:after="60"/>
              <w:jc w:val="right"/>
            </w:pPr>
            <w:r>
              <w:rPr>
                <w:b w:val="0"/>
                <w:color w:val="8A8578"/>
                <w:sz w:val="17"/>
              </w:rPr>
              <w:t>VAT — delete if you are not VAT registered</w:t>
            </w:r>
          </w:p>
        </w:tc>
        <w:tc>
          <w:tcPr>
            <w:tcW w:type="dxa" w:w="2736"/>
            <w:tcBorders>
              <w:top w:val="single" w:sz="4" w:color="D8D3C8"/>
            </w:tcBorders>
          </w:tcPr>
          <w:p>
            <w:pPr>
              <w:spacing w:before="60" w:after="60"/>
              <w:jc w:val="right"/>
            </w:pPr>
            <w:r>
              <w:rPr>
                <w:b w:val="0"/>
                <w:color w:val="1A1A18"/>
                <w:sz w:val="17"/>
              </w:rPr>
              <w:t>£</w:t>
            </w:r>
          </w:p>
        </w:tc>
      </w:tr>
      <w:tr>
        <w:tc>
          <w:tcPr>
            <w:tcW w:type="dxa" w:w="8064"/>
          </w:tcPr>
          <w:p>
            <w:pPr>
              <w:spacing w:before="60" w:after="60"/>
              <w:jc w:val="right"/>
            </w:pPr>
            <w:r>
              <w:rPr>
                <w:b/>
                <w:color w:val="1A1A18"/>
                <w:sz w:val="20"/>
              </w:rPr>
              <w:t>Total including VAT</w:t>
            </w:r>
          </w:p>
        </w:tc>
        <w:tc>
          <w:tcPr>
            <w:tcW w:type="dxa" w:w="2736"/>
            <w:tcBorders>
              <w:top w:val="single" w:sz="4" w:color="1A1A18"/>
            </w:tcBorders>
            <w:shd w:val="clear" w:color="auto" w:fill="F7F5F0"/>
          </w:tcPr>
          <w:p>
            <w:pPr>
              <w:spacing w:before="60" w:after="60"/>
              <w:jc w:val="right"/>
            </w:pPr>
            <w:r>
              <w:rPr>
                <w:b/>
                <w:color w:val="1A1A18"/>
                <w:sz w:val="20"/>
              </w:rPr>
              <w:t>£</w:t>
            </w:r>
          </w:p>
        </w:tc>
      </w:tr>
    </w:tbl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INCLUSIONS</w:t>
      </w:r>
    </w:p>
    <w:p>
      <w:pPr>
        <w:pStyle w:val="ListBullet"/>
        <w:spacing w:after="40"/>
      </w:pPr>
    </w:p>
    <w:p>
      <w:pPr>
        <w:pStyle w:val="ListBullet"/>
        <w:spacing w:after="40"/>
      </w:pPr>
    </w:p>
    <w:p>
      <w:pPr>
        <w:pStyle w:val="ListBullet"/>
        <w:spacing w:after="40"/>
      </w:pP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EXCLUSIONS — STATE 'NO ALLOWANCE' AND WHY</w:t>
      </w:r>
    </w:p>
    <w:p>
      <w:pPr>
        <w:pStyle w:val="ListBullet"/>
        <w:spacing w:after="40"/>
      </w:pPr>
    </w:p>
    <w:p>
      <w:pPr>
        <w:pStyle w:val="ListBullet"/>
        <w:spacing w:after="40"/>
      </w:pPr>
    </w:p>
    <w:p>
      <w:pPr>
        <w:pStyle w:val="ListBullet"/>
        <w:spacing w:after="40"/>
      </w:pP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ASSUMPTIONS</w:t>
      </w:r>
    </w:p>
    <w:p>
      <w:pPr>
        <w:pStyle w:val="ListBullet"/>
        <w:spacing w:after="40"/>
      </w:pPr>
    </w:p>
    <w:p>
      <w:pPr>
        <w:pStyle w:val="ListBullet"/>
        <w:spacing w:after="40"/>
      </w:pPr>
    </w:p>
    <w:p>
      <w:pPr>
        <w:pStyle w:val="ListBullet"/>
        <w:spacing w:after="40"/>
      </w:pP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VALIDITY PERIOD AND PAYMENT TERMS</w:t>
      </w:r>
    </w:p>
    <w:p>
      <w:pPr>
        <w:pStyle w:val="ListBullet"/>
        <w:spacing w:after="40"/>
      </w:pPr>
    </w:p>
    <w:p>
      <w:pPr>
        <w:pStyle w:val="ListBullet"/>
        <w:spacing w:after="40"/>
      </w:pPr>
    </w:p>
    <w:p>
      <w:pPr>
        <w:pStyle w:val="ListBullet"/>
        <w:spacing w:after="40"/>
      </w:pPr>
    </w:p>
    <w:p>
      <w:r>
        <w:br w:type="page"/>
      </w:r>
    </w:p>
    <w:p>
      <w:pPr>
        <w:spacing w:after="40"/>
      </w:pPr>
      <w:r>
        <w:drawing>
          <wp:inline xmlns:a="http://schemas.openxmlformats.org/drawingml/2006/main" xmlns:pic="http://schemas.openxmlformats.org/drawingml/2006/picture">
            <wp:extent cx="1097280" cy="20414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ckup-ligh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2041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/>
      </w:pPr>
      <w:r>
        <w:rPr>
          <w:b/>
          <w:color w:val="1A1A18"/>
          <w:sz w:val="36"/>
        </w:rPr>
        <w:t>What a construction quote should contain</w:t>
      </w:r>
    </w:p>
    <w:p>
      <w:pPr>
        <w:spacing w:before="40" w:after="160"/>
      </w:pPr>
      <w:r>
        <w:rPr>
          <w:color w:val="B87514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ListNumber"/>
        <w:spacing w:after="120"/>
      </w:pPr>
      <w:r>
        <w:rPr>
          <w:b/>
          <w:sz w:val="19"/>
        </w:rPr>
        <w:t xml:space="preserve">Your details and the client's — </w:t>
      </w:r>
      <w:r>
        <w:rPr>
          <w:sz w:val="19"/>
        </w:rPr>
        <w:t>Company name, company number, address, and the property the works relate to.</w:t>
      </w:r>
    </w:p>
    <w:p>
      <w:pPr>
        <w:pStyle w:val="ListNumber"/>
        <w:spacing w:after="120"/>
      </w:pPr>
      <w:r>
        <w:rPr>
          <w:b/>
          <w:sz w:val="19"/>
        </w:rPr>
        <w:t xml:space="preserve">A reference and a date — </w:t>
      </w:r>
      <w:r>
        <w:rPr>
          <w:sz w:val="19"/>
        </w:rPr>
        <w:t>So the version being discussed is never in doubt when the scope changes.</w:t>
      </w:r>
    </w:p>
    <w:p>
      <w:pPr>
        <w:pStyle w:val="ListNumber"/>
        <w:spacing w:after="120"/>
      </w:pPr>
      <w:r>
        <w:rPr>
          <w:b/>
          <w:sz w:val="19"/>
        </w:rPr>
        <w:t xml:space="preserve">Sectioned, measured lines — </w:t>
      </w:r>
      <w:r>
        <w:rPr>
          <w:sz w:val="19"/>
        </w:rPr>
        <w:t>Every line needs a quantity, a unit and a rate. Sections subtotal to the tender sum.</w:t>
      </w:r>
    </w:p>
    <w:p>
      <w:pPr>
        <w:pStyle w:val="ListNumber"/>
        <w:spacing w:after="120"/>
      </w:pPr>
      <w:r>
        <w:rPr>
          <w:b/>
          <w:sz w:val="19"/>
        </w:rPr>
        <w:t xml:space="preserve">The tender sum, VAT stated — </w:t>
      </w:r>
      <w:r>
        <w:rPr>
          <w:sz w:val="19"/>
        </w:rPr>
        <w:t>One headline figure, with the VAT position explicit rather than implied.</w:t>
      </w:r>
    </w:p>
    <w:p>
      <w:pPr>
        <w:pStyle w:val="ListNumber"/>
        <w:spacing w:after="120"/>
      </w:pPr>
      <w:r>
        <w:rPr>
          <w:b/>
          <w:sz w:val="19"/>
        </w:rPr>
        <w:t xml:space="preserve">Inclusions and exclusions — </w:t>
      </w:r>
      <w:r>
        <w:rPr>
          <w:sz w:val="19"/>
        </w:rPr>
        <w:t>Exclusions read as 'no allowance' with a reason — never as a zero-pound line.</w:t>
      </w:r>
    </w:p>
    <w:p>
      <w:pPr>
        <w:pStyle w:val="ListNumber"/>
        <w:spacing w:after="120"/>
      </w:pPr>
      <w:r>
        <w:rPr>
          <w:b/>
          <w:sz w:val="19"/>
        </w:rPr>
        <w:t xml:space="preserve">Assumptions — </w:t>
      </w:r>
      <w:r>
        <w:rPr>
          <w:sz w:val="19"/>
        </w:rPr>
        <w:t>Anything assumed rather than confirmed, with the scope it affects named.</w:t>
      </w:r>
    </w:p>
    <w:p>
      <w:pPr>
        <w:pStyle w:val="ListNumber"/>
        <w:spacing w:after="120"/>
      </w:pPr>
      <w:r>
        <w:rPr>
          <w:b/>
          <w:sz w:val="19"/>
        </w:rPr>
        <w:t xml:space="preserve">Validity period and payment terms — </w:t>
      </w:r>
      <w:r>
        <w:rPr>
          <w:sz w:val="19"/>
        </w:rPr>
        <w:t>How long the price holds, and when money is due.</w:t>
      </w:r>
    </w:p>
    <w:p>
      <w:r>
        <w:br w:type="page"/>
      </w:r>
    </w:p>
    <w:p>
      <w:pPr>
        <w:spacing w:after="0"/>
      </w:pPr>
      <w:r>
        <w:rPr>
          <w:b/>
          <w:color w:val="1A1A18"/>
          <w:sz w:val="36"/>
        </w:rPr>
        <w:t>Standard tasks to pick from</w:t>
      </w:r>
    </w:p>
    <w:p>
      <w:r>
        <w:rPr>
          <w:color w:val="8A8578"/>
          <w:sz w:val="18"/>
        </w:rPr>
        <w:t>Lines taken from real priced jobs. Copy the ones that apply into your schedule above, then add your own quantities and rates.</w:t>
      </w:r>
    </w:p>
    <w:p>
      <w:pPr>
        <w:spacing w:before="40" w:after="160"/>
      </w:pPr>
      <w:r>
        <w:rPr>
          <w:color w:val="B87514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PRELIMINARIES &amp; SITE SET-UP</w:t>
      </w:r>
    </w:p>
    <w:p>
      <w:pPr>
        <w:pStyle w:val="ListBullet"/>
        <w:spacing w:after="0"/>
      </w:pPr>
      <w:r>
        <w:rPr>
          <w:sz w:val="17"/>
        </w:rPr>
        <w:t>Building Control inspection attendance and coordination</w:t>
      </w:r>
    </w:p>
    <w:p>
      <w:pPr>
        <w:pStyle w:val="ListBullet"/>
        <w:spacing w:after="0"/>
      </w:pPr>
      <w:r>
        <w:rPr>
          <w:sz w:val="17"/>
        </w:rPr>
        <w:t>Employer's and public liability insurance for the duration of the works</w:t>
      </w:r>
    </w:p>
    <w:p>
      <w:pPr>
        <w:pStyle w:val="ListBullet"/>
        <w:spacing w:after="0"/>
      </w:pPr>
      <w:r>
        <w:rPr>
          <w:sz w:val="17"/>
        </w:rPr>
        <w:t>Final clean prior to client handover</w:t>
      </w:r>
    </w:p>
    <w:p>
      <w:pPr>
        <w:pStyle w:val="ListBullet"/>
        <w:spacing w:after="0"/>
      </w:pPr>
      <w:r>
        <w:rPr>
          <w:sz w:val="17"/>
        </w:rPr>
        <w:t>Front and rear access scaffold — erect, dismantle, transport and initial 8-week hire</w:t>
      </w:r>
    </w:p>
    <w:p>
      <w:pPr>
        <w:pStyle w:val="ListBullet"/>
        <w:spacing w:after="0"/>
      </w:pPr>
      <w:r>
        <w:rPr>
          <w:sz w:val="17"/>
        </w:rPr>
        <w:t>Hoarding and site security</w:t>
      </w:r>
    </w:p>
    <w:p>
      <w:pPr>
        <w:pStyle w:val="ListBullet"/>
        <w:spacing w:after="0"/>
      </w:pPr>
      <w:r>
        <w:rPr>
          <w:sz w:val="17"/>
        </w:rPr>
        <w:t>Portaloo hire for duration of project</w:t>
      </w:r>
    </w:p>
    <w:p>
      <w:pPr>
        <w:pStyle w:val="ListBullet"/>
        <w:spacing w:after="0"/>
      </w:pPr>
      <w:r>
        <w:rPr>
          <w:sz w:val="17"/>
        </w:rPr>
        <w:t>Provide scaffold tower (up to 6m)</w:t>
      </w:r>
    </w:p>
    <w:p>
      <w:pPr>
        <w:pStyle w:val="ListBullet"/>
        <w:spacing w:after="0"/>
      </w:pPr>
      <w:r>
        <w:rPr>
          <w:sz w:val="17"/>
        </w:rPr>
        <w:t>Scaffold erection and dismantle</w:t>
      </w:r>
    </w:p>
    <w:p>
      <w:pPr>
        <w:pStyle w:val="ListBullet"/>
        <w:spacing w:after="0"/>
      </w:pPr>
      <w:r>
        <w:rPr>
          <w:sz w:val="17"/>
        </w:rPr>
        <w:t>Scaffold extension hire — weeks 9 to 12</w:t>
      </w:r>
    </w:p>
    <w:p>
      <w:pPr>
        <w:pStyle w:val="ListBullet"/>
        <w:spacing w:after="0"/>
      </w:pPr>
      <w:r>
        <w:rPr>
          <w:sz w:val="17"/>
        </w:rPr>
        <w:t>Scaffold hire for duration of project</w:t>
      </w:r>
    </w:p>
    <w:p>
      <w:pPr>
        <w:pStyle w:val="ListBullet"/>
        <w:spacing w:after="0"/>
      </w:pPr>
      <w:r>
        <w:rPr>
          <w:sz w:val="17"/>
        </w:rPr>
        <w:t>Site fencing and hoarding</w:t>
      </w:r>
    </w:p>
    <w:p>
      <w:pPr>
        <w:pStyle w:val="ListBullet"/>
        <w:spacing w:after="0"/>
      </w:pPr>
      <w:r>
        <w:rPr>
          <w:sz w:val="17"/>
        </w:rPr>
        <w:t>Site setup, temporary power and site fencing</w:t>
      </w:r>
    </w:p>
    <w:p>
      <w:pPr>
        <w:pStyle w:val="ListBullet"/>
        <w:spacing w:after="0"/>
      </w:pPr>
      <w:r>
        <w:rPr>
          <w:sz w:val="17"/>
        </w:rPr>
        <w:t>Site supervision and coordination (12 weeks)</w:t>
      </w:r>
    </w:p>
    <w:p>
      <w:pPr>
        <w:pStyle w:val="ListBullet"/>
        <w:spacing w:after="0"/>
      </w:pPr>
      <w:r>
        <w:rPr>
          <w:sz w:val="17"/>
        </w:rPr>
        <w:t>Site supervision and project coordination</w:t>
      </w:r>
    </w:p>
    <w:p>
      <w:pPr>
        <w:pStyle w:val="ListBullet"/>
        <w:spacing w:after="0"/>
      </w:pPr>
      <w:r>
        <w:rPr>
          <w:sz w:val="17"/>
        </w:rPr>
        <w:t>Skip hire and waste disposal throughout project</w:t>
      </w:r>
    </w:p>
    <w:p>
      <w:pPr>
        <w:pStyle w:val="ListBullet"/>
        <w:spacing w:after="0"/>
      </w:pPr>
      <w:r>
        <w:rPr>
          <w:sz w:val="17"/>
        </w:rPr>
        <w:t>Skip hire for spoil removal</w:t>
      </w:r>
    </w:p>
    <w:p>
      <w:pPr>
        <w:pStyle w:val="ListBullet"/>
        <w:spacing w:after="0"/>
      </w:pPr>
      <w:r>
        <w:rPr>
          <w:sz w:val="17"/>
        </w:rPr>
        <w:t>Temporary protection to retained finishes and floors</w:t>
      </w:r>
    </w:p>
    <w:p>
      <w:pPr>
        <w:pStyle w:val="ListBullet"/>
        <w:spacing w:after="0"/>
      </w:pPr>
      <w:r>
        <w:rPr>
          <w:sz w:val="17"/>
        </w:rPr>
        <w:t>Temporary site power connection</w:t>
      </w:r>
    </w:p>
    <w:p>
      <w:pPr>
        <w:pStyle w:val="ListBullet"/>
        <w:spacing w:after="0"/>
      </w:pPr>
      <w:r>
        <w:rPr>
          <w:sz w:val="17"/>
        </w:rPr>
        <w:t>Three skip hires and waste disposal</w:t>
      </w:r>
    </w:p>
    <w:p>
      <w:pPr>
        <w:pStyle w:val="ListBullet"/>
        <w:spacing w:after="0"/>
      </w:pPr>
      <w:r>
        <w:rPr>
          <w:sz w:val="17"/>
        </w:rPr>
        <w:t>Tool storage and welfare unit hire</w:t>
      </w:r>
    </w:p>
    <w:p>
      <w:pPr>
        <w:pStyle w:val="ListBullet"/>
        <w:spacing w:after="0"/>
      </w:pPr>
      <w:r>
        <w:rPr>
          <w:sz w:val="17"/>
        </w:rPr>
        <w:t>Welfare and site toilet hire (12 weeks)</w:t>
      </w: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DEMOLITION &amp; ENABLING WORKS</w:t>
      </w:r>
    </w:p>
    <w:p>
      <w:pPr>
        <w:pStyle w:val="ListBullet"/>
        <w:spacing w:after="0"/>
      </w:pPr>
      <w:r>
        <w:rPr>
          <w:sz w:val="17"/>
        </w:rPr>
        <w:t>Asbestos survey and removal (if required)</w:t>
      </w:r>
    </w:p>
    <w:p>
      <w:pPr>
        <w:pStyle w:val="ListBullet"/>
        <w:spacing w:after="0"/>
      </w:pPr>
      <w:r>
        <w:rPr>
          <w:sz w:val="17"/>
        </w:rPr>
        <w:t>Break out concrete patio/paving</w:t>
      </w:r>
    </w:p>
    <w:p>
      <w:pPr>
        <w:pStyle w:val="ListBullet"/>
        <w:spacing w:after="0"/>
      </w:pPr>
      <w:r>
        <w:rPr>
          <w:sz w:val="17"/>
        </w:rPr>
        <w:t>Carefully remove existing roof tiles for reuse</w:t>
      </w:r>
    </w:p>
    <w:p>
      <w:pPr>
        <w:pStyle w:val="ListBullet"/>
        <w:spacing w:after="0"/>
      </w:pPr>
      <w:r>
        <w:rPr>
          <w:sz w:val="17"/>
        </w:rPr>
        <w:t>Demolish existing rear wall and create opening</w:t>
      </w:r>
    </w:p>
    <w:p>
      <w:pPr>
        <w:pStyle w:val="ListBullet"/>
        <w:spacing w:after="0"/>
      </w:pPr>
      <w:r>
        <w:rPr>
          <w:sz w:val="17"/>
        </w:rPr>
        <w:t>Load and dispose of demolition waste</w:t>
      </w:r>
    </w:p>
    <w:p>
      <w:pPr>
        <w:pStyle w:val="ListBullet"/>
        <w:spacing w:after="0"/>
      </w:pPr>
      <w:r>
        <w:rPr>
          <w:sz w:val="17"/>
        </w:rPr>
        <w:t>Remove existing WC suite</w:t>
      </w:r>
    </w:p>
    <w:p>
      <w:pPr>
        <w:pStyle w:val="ListBullet"/>
        <w:spacing w:after="0"/>
      </w:pPr>
      <w:r>
        <w:rPr>
          <w:sz w:val="17"/>
        </w:rPr>
        <w:t>Remove existing bathroom suite</w:t>
      </w:r>
    </w:p>
    <w:p>
      <w:pPr>
        <w:pStyle w:val="ListBullet"/>
        <w:spacing w:after="0"/>
      </w:pPr>
      <w:r>
        <w:rPr>
          <w:sz w:val="17"/>
        </w:rPr>
        <w:t>Remove existing internal doors</w:t>
      </w:r>
    </w:p>
    <w:p>
      <w:pPr>
        <w:pStyle w:val="ListBullet"/>
        <w:spacing w:after="0"/>
      </w:pPr>
      <w:r>
        <w:rPr>
          <w:sz w:val="17"/>
        </w:rPr>
        <w:t>Remove existing roof timbers and ceiling joists</w:t>
      </w:r>
    </w:p>
    <w:p>
      <w:pPr>
        <w:pStyle w:val="ListBullet"/>
        <w:spacing w:after="0"/>
      </w:pPr>
      <w:r>
        <w:rPr>
          <w:sz w:val="17"/>
        </w:rPr>
        <w:t>Remove existing windows and doors</w:t>
      </w:r>
    </w:p>
    <w:p>
      <w:pPr>
        <w:pStyle w:val="ListBullet"/>
        <w:spacing w:after="0"/>
      </w:pPr>
      <w:r>
        <w:rPr>
          <w:sz w:val="17"/>
        </w:rPr>
        <w:t>Strip out and demolish existing structure (conservatory/lean-to)</w:t>
      </w:r>
    </w:p>
    <w:p>
      <w:pPr>
        <w:pStyle w:val="ListBullet"/>
        <w:spacing w:after="0"/>
      </w:pPr>
      <w:r>
        <w:rPr>
          <w:sz w:val="17"/>
        </w:rPr>
        <w:t>Strip out existing kitchen units, worktops and appliances</w:t>
      </w:r>
    </w:p>
    <w:p>
      <w:pPr>
        <w:pStyle w:val="ListBullet"/>
        <w:spacing w:after="0"/>
      </w:pPr>
      <w:r>
        <w:rPr>
          <w:sz w:val="17"/>
        </w:rPr>
        <w:t>Temporary support to existing structure during opening works</w:t>
      </w:r>
    </w:p>
    <w:p>
      <w:pPr>
        <w:pStyle w:val="ListBullet"/>
        <w:spacing w:after="0"/>
      </w:pPr>
      <w:r>
        <w:rPr>
          <w:sz w:val="17"/>
        </w:rPr>
        <w:t>Temporary support to existing structure during works</w:t>
      </w: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GROUNDWORKS &amp; FOUNDATIONS</w:t>
      </w:r>
    </w:p>
    <w:p>
      <w:pPr>
        <w:pStyle w:val="ListBullet"/>
        <w:spacing w:after="0"/>
      </w:pPr>
      <w:r>
        <w:rPr>
          <w:sz w:val="17"/>
        </w:rPr>
        <w:t>Below ground drainage connections</w:t>
      </w:r>
    </w:p>
    <w:p>
      <w:pPr>
        <w:pStyle w:val="ListBullet"/>
        <w:spacing w:after="0"/>
      </w:pPr>
      <w:r>
        <w:rPr>
          <w:sz w:val="17"/>
        </w:rPr>
        <w:t>Blinding sand layer over hardcore</w:t>
      </w:r>
    </w:p>
    <w:p>
      <w:pPr>
        <w:pStyle w:val="ListBullet"/>
        <w:spacing w:after="0"/>
      </w:pPr>
      <w:r>
        <w:rPr>
          <w:sz w:val="17"/>
        </w:rPr>
        <w:t>Cast reinforced concrete pad foundations under structural columns</w:t>
      </w:r>
    </w:p>
    <w:p>
      <w:pPr>
        <w:pStyle w:val="ListBullet"/>
        <w:spacing w:after="0"/>
      </w:pPr>
      <w:r>
        <w:rPr>
          <w:sz w:val="17"/>
        </w:rPr>
        <w:t>Clear site vegetation and topsoil strip</w:t>
      </w:r>
    </w:p>
    <w:p>
      <w:pPr>
        <w:pStyle w:val="ListBullet"/>
        <w:spacing w:after="0"/>
      </w:pPr>
      <w:r>
        <w:rPr>
          <w:sz w:val="17"/>
        </w:rPr>
        <w:t>Concrete foundation strip footings</w:t>
      </w:r>
    </w:p>
    <w:p>
      <w:pPr>
        <w:pStyle w:val="ListBullet"/>
        <w:spacing w:after="0"/>
      </w:pPr>
      <w:r>
        <w:rPr>
          <w:sz w:val="17"/>
        </w:rPr>
        <w:t>Concrete pump hire — foundations</w:t>
      </w:r>
    </w:p>
    <w:p>
      <w:pPr>
        <w:pStyle w:val="ListBullet"/>
        <w:spacing w:after="0"/>
      </w:pPr>
      <w:r>
        <w:rPr>
          <w:sz w:val="17"/>
        </w:rPr>
        <w:t>Damp proof membrane (DPM)</w:t>
      </w:r>
    </w:p>
    <w:p>
      <w:pPr>
        <w:pStyle w:val="ListBullet"/>
        <w:spacing w:after="0"/>
      </w:pPr>
      <w:r>
        <w:rPr>
          <w:sz w:val="17"/>
        </w:rPr>
        <w:t>Drainage fittings, connections and outlets</w:t>
      </w:r>
    </w:p>
    <w:p>
      <w:pPr>
        <w:pStyle w:val="ListBullet"/>
        <w:spacing w:after="0"/>
      </w:pPr>
      <w:r>
        <w:rPr>
          <w:sz w:val="17"/>
        </w:rPr>
        <w:t>Excavate for reduced level dig</w:t>
      </w:r>
    </w:p>
    <w:p>
      <w:pPr>
        <w:pStyle w:val="ListBullet"/>
        <w:spacing w:after="0"/>
      </w:pPr>
      <w:r>
        <w:rPr>
          <w:sz w:val="17"/>
        </w:rPr>
        <w:t>Excavate trench foundations</w:t>
      </w:r>
    </w:p>
    <w:p>
      <w:pPr>
        <w:pStyle w:val="ListBullet"/>
        <w:spacing w:after="0"/>
      </w:pPr>
      <w:r>
        <w:rPr>
          <w:sz w:val="17"/>
        </w:rPr>
        <w:t>Excavated spoil disposal (1.2x bulking factor)</w:t>
      </w:r>
    </w:p>
    <w:p>
      <w:pPr>
        <w:pStyle w:val="ListBullet"/>
        <w:spacing w:after="0"/>
      </w:pPr>
      <w:r>
        <w:rPr>
          <w:sz w:val="17"/>
        </w:rPr>
        <w:t>External paving/drainage make-good and reinstatement allowance</w:t>
      </w:r>
    </w:p>
    <w:p>
      <w:pPr>
        <w:pStyle w:val="ListBullet"/>
        <w:spacing w:after="0"/>
      </w:pPr>
      <w:r>
        <w:rPr>
          <w:sz w:val="17"/>
        </w:rPr>
        <w:t>Formwork to trench sides (strip foundations only)</w:t>
      </w:r>
    </w:p>
    <w:p>
      <w:pPr>
        <w:pStyle w:val="ListBullet"/>
        <w:spacing w:after="0"/>
      </w:pPr>
      <w:r>
        <w:rPr>
          <w:sz w:val="17"/>
        </w:rPr>
        <w:t>Foundation blockwork to DPC level</w:t>
      </w:r>
    </w:p>
    <w:p>
      <w:pPr>
        <w:pStyle w:val="ListBullet"/>
        <w:spacing w:after="0"/>
      </w:pPr>
      <w:r>
        <w:rPr>
          <w:sz w:val="17"/>
        </w:rPr>
        <w:t>Hardcore sub-base and blinding</w:t>
      </w:r>
    </w:p>
    <w:p>
      <w:pPr>
        <w:pStyle w:val="ListBullet"/>
        <w:spacing w:after="0"/>
      </w:pPr>
      <w:r>
        <w:rPr>
          <w:sz w:val="17"/>
        </w:rPr>
        <w:t>Install RC lintels over foundation bridging</w:t>
      </w:r>
    </w:p>
    <w:p>
      <w:pPr>
        <w:pStyle w:val="ListBullet"/>
        <w:spacing w:after="0"/>
      </w:pPr>
      <w:r>
        <w:rPr>
          <w:sz w:val="17"/>
        </w:rPr>
        <w:t>Install firring strips for drainage falls</w:t>
      </w:r>
    </w:p>
    <w:p>
      <w:pPr>
        <w:pStyle w:val="ListBullet"/>
        <w:spacing w:after="0"/>
      </w:pPr>
      <w:r>
        <w:rPr>
          <w:sz w:val="17"/>
        </w:rPr>
        <w:t>Install soakaway (if required)</w:t>
      </w:r>
    </w:p>
    <w:p>
      <w:pPr>
        <w:pStyle w:val="ListBullet"/>
        <w:spacing w:after="0"/>
      </w:pPr>
      <w:r>
        <w:rPr>
          <w:sz w:val="17"/>
        </w:rPr>
        <w:t>Install surface water drainage</w:t>
      </w:r>
    </w:p>
    <w:p>
      <w:pPr>
        <w:pStyle w:val="ListBullet"/>
        <w:spacing w:after="0"/>
      </w:pPr>
      <w:r>
        <w:rPr>
          <w:sz w:val="17"/>
        </w:rPr>
        <w:t>Manholes / inspection chambers</w:t>
      </w:r>
    </w:p>
    <w:p>
      <w:pPr>
        <w:pStyle w:val="ListBullet"/>
        <w:spacing w:after="0"/>
      </w:pPr>
      <w:r>
        <w:rPr>
          <w:sz w:val="17"/>
        </w:rPr>
        <w:t>Mini digger hire for excavation</w:t>
      </w:r>
    </w:p>
    <w:p>
      <w:pPr>
        <w:pStyle w:val="ListBullet"/>
        <w:spacing w:after="0"/>
      </w:pPr>
      <w:r>
        <w:rPr>
          <w:sz w:val="17"/>
        </w:rPr>
        <w:t>Mortar for foundation blockwork</w:t>
      </w:r>
    </w:p>
    <w:p>
      <w:pPr>
        <w:pStyle w:val="ListBullet"/>
        <w:spacing w:after="0"/>
      </w:pPr>
      <w:r>
        <w:rPr>
          <w:sz w:val="17"/>
        </w:rPr>
        <w:t>Reinforcement to foundations</w:t>
      </w:r>
    </w:p>
    <w:p>
      <w:pPr>
        <w:pStyle w:val="ListBullet"/>
        <w:spacing w:after="0"/>
      </w:pPr>
      <w:r>
        <w:rPr>
          <w:sz w:val="17"/>
        </w:rPr>
        <w:t>Surface water drainage</w:t>
      </w: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STRUCTURE, WALLS &amp; ROOF</w:t>
      </w:r>
    </w:p>
    <w:p>
      <w:pPr>
        <w:pStyle w:val="ListBullet"/>
        <w:spacing w:after="0"/>
      </w:pPr>
      <w:r>
        <w:rPr>
          <w:sz w:val="17"/>
        </w:rPr>
        <w:t>150mm Kingspan Thermapitch TP10 between pitched-roof rafters</w:t>
      </w:r>
    </w:p>
    <w:p>
      <w:pPr>
        <w:pStyle w:val="ListBullet"/>
        <w:spacing w:after="0"/>
      </w:pPr>
      <w:r>
        <w:rPr>
          <w:sz w:val="17"/>
        </w:rPr>
        <w:t>40mm Kingspan Thermapitch TP10 below pitched-roof rafters with VCL</w:t>
      </w:r>
    </w:p>
    <w:p>
      <w:pPr>
        <w:pStyle w:val="ListBullet"/>
        <w:spacing w:after="0"/>
      </w:pPr>
      <w:r>
        <w:rPr>
          <w:sz w:val="17"/>
        </w:rPr>
        <w:t>Apply single-ply membrane roof covering</w:t>
      </w:r>
    </w:p>
    <w:p>
      <w:pPr>
        <w:pStyle w:val="ListBullet"/>
        <w:spacing w:after="0"/>
      </w:pPr>
      <w:r>
        <w:rPr>
          <w:sz w:val="17"/>
        </w:rPr>
        <w:t>Construct cavity wall - inner leaf blockwork</w:t>
      </w:r>
    </w:p>
    <w:p>
      <w:pPr>
        <w:pStyle w:val="ListBullet"/>
        <w:spacing w:after="0"/>
      </w:pPr>
      <w:r>
        <w:rPr>
          <w:sz w:val="17"/>
        </w:rPr>
        <w:t>Construct cavity wall - outer leaf brickwork</w:t>
      </w:r>
    </w:p>
    <w:p>
      <w:pPr>
        <w:pStyle w:val="ListBullet"/>
        <w:spacing w:after="0"/>
      </w:pPr>
      <w:r>
        <w:rPr>
          <w:sz w:val="17"/>
        </w:rPr>
        <w:t>Construct internal blockwork partitions</w:t>
      </w:r>
    </w:p>
    <w:p>
      <w:pPr>
        <w:pStyle w:val="ListBullet"/>
        <w:spacing w:after="0"/>
      </w:pPr>
      <w:r>
        <w:rPr>
          <w:sz w:val="17"/>
        </w:rPr>
        <w:t>Construct rear dormer walls (timber frame)</w:t>
      </w:r>
    </w:p>
    <w:p>
      <w:pPr>
        <w:pStyle w:val="ListBullet"/>
        <w:spacing w:after="0"/>
      </w:pPr>
      <w:r>
        <w:rPr>
          <w:sz w:val="17"/>
        </w:rPr>
        <w:t>Construct timber stud partitions with insulation</w:t>
      </w:r>
    </w:p>
    <w:p>
      <w:pPr>
        <w:pStyle w:val="ListBullet"/>
        <w:spacing w:after="0"/>
      </w:pPr>
      <w:r>
        <w:rPr>
          <w:sz w:val="17"/>
        </w:rPr>
        <w:t>Dormer lining specification uplift — 37.5mm K118 insulated plasterboard, VCL and skim</w:t>
      </w:r>
    </w:p>
    <w:p>
      <w:pPr>
        <w:pStyle w:val="ListBullet"/>
        <w:spacing w:after="0"/>
      </w:pPr>
      <w:r>
        <w:rPr>
          <w:sz w:val="17"/>
        </w:rPr>
        <w:t>External cladding to dormer walls</w:t>
      </w:r>
    </w:p>
    <w:p>
      <w:pPr>
        <w:pStyle w:val="ListBullet"/>
        <w:spacing w:after="0"/>
      </w:pPr>
      <w:r>
        <w:rPr>
          <w:sz w:val="17"/>
        </w:rPr>
        <w:t>Fire casing to all steel beams — 2 layers 12.5mm plasterboard and skim (1 hr)</w:t>
      </w:r>
    </w:p>
    <w:p>
      <w:pPr>
        <w:pStyle w:val="ListBullet"/>
        <w:spacing w:after="0"/>
      </w:pPr>
      <w:r>
        <w:rPr>
          <w:sz w:val="17"/>
        </w:rPr>
        <w:t>Floor insulation between joists</w:t>
      </w:r>
    </w:p>
    <w:p>
      <w:pPr>
        <w:pStyle w:val="ListBullet"/>
        <w:spacing w:after="0"/>
      </w:pPr>
      <w:r>
        <w:rPr>
          <w:sz w:val="17"/>
        </w:rPr>
        <w:t>Herringbone strutting to loft floor joists at mid-span</w:t>
      </w:r>
    </w:p>
    <w:p>
      <w:pPr>
        <w:pStyle w:val="ListBullet"/>
        <w:spacing w:after="0"/>
      </w:pPr>
      <w:r>
        <w:rPr>
          <w:sz w:val="17"/>
        </w:rPr>
        <w:t>Install cavity wall insulation</w:t>
      </w:r>
    </w:p>
    <w:p>
      <w:pPr>
        <w:pStyle w:val="ListBullet"/>
        <w:spacing w:after="0"/>
      </w:pPr>
      <w:r>
        <w:rPr>
          <w:sz w:val="17"/>
        </w:rPr>
        <w:t>Install guttering and downpipes</w:t>
      </w:r>
    </w:p>
    <w:p>
      <w:pPr>
        <w:pStyle w:val="ListBullet"/>
        <w:spacing w:after="0"/>
      </w:pPr>
      <w:r>
        <w:rPr>
          <w:sz w:val="17"/>
        </w:rPr>
        <w:t>Install insulation to ground floor</w:t>
      </w:r>
    </w:p>
    <w:p>
      <w:pPr>
        <w:pStyle w:val="ListBullet"/>
        <w:spacing w:after="0"/>
      </w:pPr>
      <w:r>
        <w:rPr>
          <w:sz w:val="17"/>
        </w:rPr>
        <w:t>Install lintels over openings</w:t>
      </w:r>
    </w:p>
    <w:p>
      <w:pPr>
        <w:pStyle w:val="ListBullet"/>
        <w:spacing w:after="0"/>
      </w:pPr>
      <w:r>
        <w:rPr>
          <w:sz w:val="17"/>
        </w:rPr>
        <w:t>Install new floor joists and hangers</w:t>
      </w:r>
    </w:p>
    <w:p>
      <w:pPr>
        <w:pStyle w:val="ListBullet"/>
        <w:spacing w:after="0"/>
      </w:pPr>
      <w:r>
        <w:rPr>
          <w:sz w:val="17"/>
        </w:rPr>
        <w:t>Install new roof rafters</w:t>
      </w:r>
    </w:p>
    <w:p>
      <w:pPr>
        <w:pStyle w:val="ListBullet"/>
        <w:spacing w:after="0"/>
      </w:pPr>
      <w:r>
        <w:rPr>
          <w:sz w:val="17"/>
        </w:rPr>
        <w:t>Install padstones for steel beam support</w:t>
      </w:r>
    </w:p>
    <w:p>
      <w:pPr>
        <w:pStyle w:val="ListBullet"/>
        <w:spacing w:after="0"/>
      </w:pPr>
      <w:r>
        <w:rPr>
          <w:sz w:val="17"/>
        </w:rPr>
        <w:t>Install rainwater downpipes, outlets and gutter fittings</w:t>
      </w:r>
    </w:p>
    <w:p>
      <w:pPr>
        <w:pStyle w:val="ListBullet"/>
        <w:spacing w:after="0"/>
      </w:pPr>
      <w:r>
        <w:rPr>
          <w:sz w:val="17"/>
        </w:rPr>
        <w:t>Install roof battens and counter battens</w:t>
      </w:r>
    </w:p>
    <w:p>
      <w:pPr>
        <w:pStyle w:val="ListBullet"/>
        <w:spacing w:after="0"/>
      </w:pPr>
      <w:r>
        <w:rPr>
          <w:sz w:val="17"/>
        </w:rPr>
        <w:t>Install roof decking (18mm OSB)</w:t>
      </w:r>
    </w:p>
    <w:p>
      <w:pPr>
        <w:pStyle w:val="ListBullet"/>
        <w:spacing w:after="0"/>
      </w:pPr>
      <w:r>
        <w:rPr>
          <w:sz w:val="17"/>
        </w:rPr>
        <w:t>Install roof edge trims and flashings</w:t>
      </w:r>
    </w:p>
    <w:p>
      <w:pPr>
        <w:pStyle w:val="ListBullet"/>
        <w:spacing w:after="0"/>
      </w:pPr>
      <w:r>
        <w:rPr>
          <w:sz w:val="17"/>
        </w:rPr>
        <w:t>Install roof insulation</w:t>
      </w:r>
    </w:p>
    <w:p>
      <w:pPr>
        <w:pStyle w:val="ListBullet"/>
        <w:spacing w:after="0"/>
      </w:pPr>
      <w:r>
        <w:rPr>
          <w:sz w:val="17"/>
        </w:rPr>
        <w:t>Install roof joists to new extension</w:t>
      </w: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WINDOWS, DOORS &amp; GLAZING</w:t>
      </w:r>
    </w:p>
    <w:p>
      <w:pPr>
        <w:pStyle w:val="ListBullet"/>
        <w:spacing w:after="0"/>
      </w:pPr>
      <w:r>
        <w:rPr>
          <w:sz w:val="17"/>
        </w:rPr>
        <w:t>Install window boards/cills</w:t>
      </w:r>
    </w:p>
    <w:p>
      <w:pPr>
        <w:pStyle w:val="ListBullet"/>
        <w:spacing w:after="0"/>
      </w:pPr>
      <w:r>
        <w:rPr>
          <w:sz w:val="17"/>
        </w:rPr>
        <w:t>Supply and install French doors</w:t>
      </w:r>
    </w:p>
    <w:p>
      <w:pPr>
        <w:pStyle w:val="ListBullet"/>
        <w:spacing w:after="0"/>
      </w:pPr>
      <w:r>
        <w:rPr>
          <w:sz w:val="17"/>
        </w:rPr>
        <w:t>Supply and install bi-fold doors (large, &gt;3.5m)</w:t>
      </w:r>
    </w:p>
    <w:p>
      <w:pPr>
        <w:pStyle w:val="ListBullet"/>
        <w:spacing w:after="0"/>
      </w:pPr>
      <w:r>
        <w:rPr>
          <w:sz w:val="17"/>
        </w:rPr>
        <w:t>Supply and install bi-fold doors (medium, 2.5-3.5m)</w:t>
      </w:r>
    </w:p>
    <w:p>
      <w:pPr>
        <w:pStyle w:val="ListBullet"/>
        <w:spacing w:after="0"/>
      </w:pPr>
      <w:r>
        <w:rPr>
          <w:sz w:val="17"/>
        </w:rPr>
        <w:t>Supply and install bi-fold doors (small, ≤2.4m)</w:t>
      </w:r>
    </w:p>
    <w:p>
      <w:pPr>
        <w:pStyle w:val="ListBullet"/>
        <w:spacing w:after="0"/>
      </w:pPr>
      <w:r>
        <w:rPr>
          <w:sz w:val="17"/>
        </w:rPr>
        <w:t>Supply and install external door (standard)</w:t>
      </w:r>
    </w:p>
    <w:p>
      <w:pPr>
        <w:pStyle w:val="ListBullet"/>
        <w:spacing w:after="0"/>
      </w:pPr>
      <w:r>
        <w:rPr>
          <w:sz w:val="17"/>
        </w:rPr>
        <w:t>Supply and install internal bifold doors (track, hinges, and leaves)</w:t>
      </w:r>
    </w:p>
    <w:p>
      <w:pPr>
        <w:pStyle w:val="ListBullet"/>
        <w:spacing w:after="0"/>
      </w:pPr>
      <w:r>
        <w:rPr>
          <w:sz w:val="17"/>
        </w:rPr>
        <w:t>Supply and install sliding/patio doors (large, 3-panel or &gt;3.5m)</w:t>
      </w:r>
    </w:p>
    <w:p>
      <w:pPr>
        <w:pStyle w:val="ListBullet"/>
        <w:spacing w:after="0"/>
      </w:pPr>
      <w:r>
        <w:rPr>
          <w:sz w:val="17"/>
        </w:rPr>
        <w:t>Supply and install sliding/patio doors (standard)</w:t>
      </w:r>
    </w:p>
    <w:p>
      <w:pPr>
        <w:pStyle w:val="ListBullet"/>
        <w:spacing w:after="0"/>
      </w:pPr>
      <w:r>
        <w:rPr>
          <w:sz w:val="17"/>
        </w:rPr>
        <w:t>Supply and install windows</w:t>
      </w: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PLASTERING &amp; FLOOR FINISHES</w:t>
      </w:r>
    </w:p>
    <w:p>
      <w:pPr>
        <w:pStyle w:val="ListBullet"/>
        <w:spacing w:after="0"/>
      </w:pPr>
      <w:r>
        <w:rPr>
          <w:sz w:val="17"/>
        </w:rPr>
        <w:t>Install ceramic floor tiles</w:t>
      </w:r>
    </w:p>
    <w:p>
      <w:pPr>
        <w:pStyle w:val="ListBullet"/>
        <w:spacing w:after="0"/>
      </w:pPr>
      <w:r>
        <w:rPr>
          <w:sz w:val="17"/>
        </w:rPr>
        <w:t>Install engineered wood flooring</w:t>
      </w:r>
    </w:p>
    <w:p>
      <w:pPr>
        <w:pStyle w:val="ListBullet"/>
        <w:spacing w:after="0"/>
      </w:pPr>
      <w:r>
        <w:rPr>
          <w:sz w:val="17"/>
        </w:rPr>
        <w:t>Install floor screed</w:t>
      </w:r>
    </w:p>
    <w:p>
      <w:pPr>
        <w:pStyle w:val="ListBullet"/>
        <w:spacing w:after="0"/>
      </w:pPr>
      <w:r>
        <w:rPr>
          <w:sz w:val="17"/>
        </w:rPr>
        <w:t>Install underfloor heating (if specified)</w:t>
      </w:r>
    </w:p>
    <w:p>
      <w:pPr>
        <w:pStyle w:val="ListBullet"/>
        <w:spacing w:after="0"/>
      </w:pPr>
      <w:r>
        <w:rPr>
          <w:sz w:val="17"/>
        </w:rPr>
        <w:t>Install underfloor heating manifold and controls</w:t>
      </w:r>
    </w:p>
    <w:p>
      <w:pPr>
        <w:pStyle w:val="ListBullet"/>
        <w:spacing w:after="0"/>
      </w:pPr>
      <w:r>
        <w:rPr>
          <w:sz w:val="17"/>
        </w:rPr>
        <w:t>New ceilings (plasterboard and skim)</w:t>
      </w:r>
    </w:p>
    <w:p>
      <w:pPr>
        <w:pStyle w:val="ListBullet"/>
        <w:spacing w:after="0"/>
      </w:pPr>
      <w:r>
        <w:rPr>
          <w:sz w:val="17"/>
        </w:rPr>
        <w:t>Plaster skim coat to walls</w:t>
      </w:r>
    </w:p>
    <w:p>
      <w:pPr>
        <w:pStyle w:val="ListBullet"/>
        <w:spacing w:after="0"/>
      </w:pPr>
      <w:r>
        <w:rPr>
          <w:sz w:val="17"/>
        </w:rPr>
        <w:t>Plasterboard and skim ceilings</w:t>
      </w:r>
    </w:p>
    <w:p>
      <w:pPr>
        <w:pStyle w:val="ListBullet"/>
        <w:spacing w:after="0"/>
      </w:pPr>
      <w:r>
        <w:rPr>
          <w:sz w:val="17"/>
        </w:rPr>
        <w:t>Plasterboard and skim internal walls</w:t>
      </w:r>
    </w:p>
    <w:p>
      <w:pPr>
        <w:pStyle w:val="ListBullet"/>
        <w:spacing w:after="0"/>
      </w:pPr>
      <w:r>
        <w:rPr>
          <w:sz w:val="17"/>
        </w:rPr>
        <w:t>Plasterboard and skim to flat ceilings</w:t>
      </w:r>
    </w:p>
    <w:p>
      <w:pPr>
        <w:pStyle w:val="ListBullet"/>
        <w:spacing w:after="0"/>
      </w:pPr>
      <w:r>
        <w:rPr>
          <w:sz w:val="17"/>
        </w:rPr>
        <w:t>Plasterboard and skim to partition walls</w:t>
      </w:r>
    </w:p>
    <w:p>
      <w:pPr>
        <w:pStyle w:val="ListBullet"/>
        <w:spacing w:after="0"/>
      </w:pPr>
      <w:r>
        <w:rPr>
          <w:sz w:val="17"/>
        </w:rPr>
        <w:t>Plasterboard and skim to sloped ceilings</w:t>
      </w:r>
    </w:p>
    <w:p>
      <w:pPr>
        <w:pStyle w:val="ListBullet"/>
        <w:spacing w:after="0"/>
      </w:pPr>
      <w:r>
        <w:rPr>
          <w:sz w:val="17"/>
        </w:rPr>
        <w:t>Plasterboard lining to existing walls</w:t>
      </w:r>
    </w:p>
    <w:p>
      <w:pPr>
        <w:pStyle w:val="ListBullet"/>
        <w:spacing w:after="0"/>
      </w:pPr>
      <w:r>
        <w:rPr>
          <w:sz w:val="17"/>
        </w:rPr>
        <w:t>Strip existing wall finishes and plaster</w:t>
      </w:r>
    </w:p>
    <w:p>
      <w:pPr>
        <w:pStyle w:val="ListBullet"/>
        <w:spacing w:after="0"/>
      </w:pPr>
      <w:r>
        <w:rPr>
          <w:sz w:val="17"/>
        </w:rPr>
        <w:t>Tile splashbacks (kitchen/utility areas)</w:t>
      </w: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JOINERY &amp; SECOND FIX</w:t>
      </w:r>
    </w:p>
    <w:p>
      <w:pPr>
        <w:pStyle w:val="ListBullet"/>
        <w:spacing w:after="0"/>
      </w:pPr>
      <w:r>
        <w:rPr>
          <w:sz w:val="17"/>
        </w:rPr>
        <w:t>Fit client-supplied kitchen units and worktops</w:t>
      </w:r>
    </w:p>
    <w:p>
      <w:pPr>
        <w:pStyle w:val="ListBullet"/>
        <w:spacing w:after="0"/>
      </w:pPr>
      <w:r>
        <w:rPr>
          <w:sz w:val="17"/>
        </w:rPr>
        <w:t>Fit fitted wardrobes or storage joinery</w:t>
      </w:r>
    </w:p>
    <w:p>
      <w:pPr>
        <w:pStyle w:val="ListBullet"/>
        <w:spacing w:after="0"/>
      </w:pPr>
      <w:r>
        <w:rPr>
          <w:sz w:val="17"/>
        </w:rPr>
        <w:t>Internal doors (supply and hang)</w:t>
      </w:r>
    </w:p>
    <w:p>
      <w:pPr>
        <w:pStyle w:val="ListBullet"/>
        <w:spacing w:after="0"/>
      </w:pPr>
      <w:r>
        <w:rPr>
          <w:sz w:val="17"/>
        </w:rPr>
        <w:t>Second fix carpentry to new rooms</w:t>
      </w:r>
    </w:p>
    <w:p>
      <w:pPr>
        <w:pStyle w:val="ListBullet"/>
        <w:spacing w:after="0"/>
      </w:pPr>
      <w:r>
        <w:rPr>
          <w:sz w:val="17"/>
        </w:rPr>
        <w:t>Supply and fit internal doors, linings and ironmongery</w:t>
      </w:r>
    </w:p>
    <w:p>
      <w:pPr>
        <w:pStyle w:val="ListBullet"/>
        <w:spacing w:after="0"/>
      </w:pPr>
      <w:r>
        <w:rPr>
          <w:sz w:val="17"/>
        </w:rPr>
        <w:t>Supply and fit kitchen units, worktops and appliances</w:t>
      </w:r>
    </w:p>
    <w:p>
      <w:pPr>
        <w:pStyle w:val="ListBullet"/>
        <w:spacing w:after="0"/>
      </w:pPr>
      <w:r>
        <w:rPr>
          <w:sz w:val="17"/>
        </w:rPr>
        <w:t>Supply and fit new staircase and balustrade</w:t>
      </w:r>
    </w:p>
    <w:p>
      <w:pPr>
        <w:pStyle w:val="ListBullet"/>
        <w:spacing w:after="0"/>
      </w:pPr>
      <w:r>
        <w:rPr>
          <w:sz w:val="17"/>
        </w:rPr>
        <w:t>Supply and fit skirting and architrave throughout</w:t>
      </w:r>
    </w:p>
    <w:p>
      <w:pPr>
        <w:pStyle w:val="ListBullet"/>
        <w:spacing w:after="0"/>
      </w:pPr>
      <w:r>
        <w:rPr>
          <w:sz w:val="17"/>
        </w:rPr>
        <w:t>Supply and fix architraves</w:t>
      </w:r>
    </w:p>
    <w:p>
      <w:pPr>
        <w:pStyle w:val="ListBullet"/>
        <w:spacing w:after="0"/>
      </w:pPr>
      <w:r>
        <w:rPr>
          <w:sz w:val="17"/>
        </w:rPr>
        <w:t>Supply and fix skirtings</w:t>
      </w:r>
    </w:p>
    <w:p>
      <w:pPr>
        <w:pStyle w:val="ListBullet"/>
        <w:spacing w:after="0"/>
      </w:pPr>
      <w:r>
        <w:rPr>
          <w:sz w:val="17"/>
        </w:rPr>
        <w:t>Supply and install internal doors</w:t>
      </w:r>
    </w:p>
    <w:p>
      <w:pPr>
        <w:pStyle w:val="ListBullet"/>
        <w:spacing w:after="0"/>
      </w:pPr>
      <w:r>
        <w:rPr>
          <w:sz w:val="17"/>
        </w:rPr>
        <w:t>Supply and install kitchen units and worktops</w:t>
      </w:r>
    </w:p>
    <w:p>
      <w:pPr>
        <w:pStyle w:val="ListBullet"/>
        <w:spacing w:after="0"/>
      </w:pPr>
      <w:r>
        <w:rPr>
          <w:sz w:val="17"/>
        </w:rPr>
        <w:t>Supply and install new staircase with balustrade and 1100mm guarding</w:t>
      </w: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HEATING &amp; PLUMBING</w:t>
      </w:r>
    </w:p>
    <w:p>
      <w:pPr>
        <w:pStyle w:val="ListBullet"/>
        <w:spacing w:after="0"/>
      </w:pPr>
      <w:r>
        <w:rPr>
          <w:sz w:val="17"/>
        </w:rPr>
        <w:t>Air source heat pump commissioning and F-gas certification</w:t>
      </w:r>
    </w:p>
    <w:p>
      <w:pPr>
        <w:pStyle w:val="ListBullet"/>
        <w:spacing w:after="0"/>
      </w:pPr>
      <w:r>
        <w:rPr>
          <w:sz w:val="17"/>
        </w:rPr>
        <w:t>Extend gas supply (if required)</w:t>
      </w:r>
    </w:p>
    <w:p>
      <w:pPr>
        <w:pStyle w:val="ListBullet"/>
        <w:spacing w:after="0"/>
      </w:pPr>
      <w:r>
        <w:rPr>
          <w:sz w:val="17"/>
        </w:rPr>
        <w:t>Install air source heat pump (alternative to boiler)</w:t>
      </w:r>
    </w:p>
    <w:p>
      <w:pPr>
        <w:pStyle w:val="ListBullet"/>
        <w:spacing w:after="0"/>
      </w:pPr>
      <w:r>
        <w:rPr>
          <w:sz w:val="17"/>
        </w:rPr>
        <w:t>Install boiler (if new heating system required)</w:t>
      </w:r>
    </w:p>
    <w:p>
      <w:pPr>
        <w:pStyle w:val="ListBullet"/>
        <w:spacing w:after="0"/>
      </w:pPr>
      <w:r>
        <w:rPr>
          <w:sz w:val="17"/>
        </w:rPr>
        <w:t>Install hot and cold water distribution</w:t>
      </w:r>
    </w:p>
    <w:p>
      <w:pPr>
        <w:pStyle w:val="ListBullet"/>
        <w:spacing w:after="0"/>
      </w:pPr>
      <w:r>
        <w:rPr>
          <w:sz w:val="17"/>
        </w:rPr>
        <w:t>Install hot water cylinder / unvented system (for heat pump)</w:t>
      </w:r>
    </w:p>
    <w:p>
      <w:pPr>
        <w:pStyle w:val="ListBullet"/>
        <w:spacing w:after="0"/>
      </w:pPr>
      <w:r>
        <w:rPr>
          <w:sz w:val="17"/>
        </w:rPr>
        <w:t>Install kitchen waste disposal unit</w:t>
      </w:r>
    </w:p>
    <w:p>
      <w:pPr>
        <w:pStyle w:val="ListBullet"/>
        <w:spacing w:after="0"/>
      </w:pPr>
      <w:r>
        <w:rPr>
          <w:sz w:val="17"/>
        </w:rPr>
        <w:t>Install radiators and heating pipework</w:t>
      </w:r>
    </w:p>
    <w:p>
      <w:pPr>
        <w:pStyle w:val="ListBullet"/>
        <w:spacing w:after="0"/>
      </w:pPr>
      <w:r>
        <w:rPr>
          <w:sz w:val="17"/>
        </w:rPr>
        <w:t>Install soil and waste pipework</w:t>
      </w:r>
    </w:p>
    <w:p>
      <w:pPr>
        <w:pStyle w:val="ListBullet"/>
        <w:spacing w:after="0"/>
      </w:pPr>
      <w:r>
        <w:rPr>
          <w:sz w:val="17"/>
        </w:rPr>
        <w:t>Plumbing system pressure testing</w:t>
      </w:r>
    </w:p>
    <w:p>
      <w:pPr>
        <w:pStyle w:val="ListBullet"/>
        <w:spacing w:after="0"/>
      </w:pPr>
      <w:r>
        <w:rPr>
          <w:sz w:val="17"/>
        </w:rPr>
        <w:t>Plumbing works — allowance per the contractor instruction</w:t>
      </w:r>
    </w:p>
    <w:p>
      <w:pPr>
        <w:pStyle w:val="ListBullet"/>
        <w:spacing w:after="0"/>
      </w:pPr>
      <w:r>
        <w:rPr>
          <w:sz w:val="17"/>
        </w:rPr>
        <w:t>Supply and install WC suite and basin to wet rooms</w:t>
      </w:r>
    </w:p>
    <w:p>
      <w:pPr>
        <w:pStyle w:val="ListBullet"/>
        <w:spacing w:after="0"/>
      </w:pPr>
      <w:r>
        <w:rPr>
          <w:sz w:val="17"/>
        </w:rPr>
        <w:t>Supply and install basin, shower tray, screen, and mixer to shower rooms</w:t>
      </w:r>
    </w:p>
    <w:p>
      <w:pPr>
        <w:pStyle w:val="ListBullet"/>
        <w:spacing w:after="0"/>
      </w:pPr>
      <w:r>
        <w:rPr>
          <w:sz w:val="17"/>
        </w:rPr>
        <w:t>Supply and install bath and taps to family bathrooms</w:t>
      </w:r>
    </w:p>
    <w:p>
      <w:pPr>
        <w:pStyle w:val="ListBullet"/>
        <w:spacing w:after="0"/>
      </w:pPr>
      <w:r>
        <w:rPr>
          <w:sz w:val="17"/>
        </w:rPr>
        <w:t>Supply and install kitchen sink and taps</w:t>
      </w:r>
    </w:p>
    <w:p>
      <w:pPr>
        <w:pStyle w:val="ListBullet"/>
        <w:spacing w:after="0"/>
      </w:pPr>
      <w:r>
        <w:rPr>
          <w:sz w:val="17"/>
        </w:rPr>
        <w:t>Supply and install shower tray, screen, and mixer to ensuites</w:t>
      </w:r>
    </w:p>
    <w:p>
      <w:pPr>
        <w:pStyle w:val="ListBullet"/>
        <w:spacing w:after="0"/>
      </w:pPr>
      <w:r>
        <w:rPr>
          <w:sz w:val="17"/>
        </w:rPr>
        <w:t>Supply and install utility sink (if applicable)</w:t>
      </w: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ELECTRICAL INSTALLATION</w:t>
      </w:r>
    </w:p>
    <w:p>
      <w:pPr>
        <w:pStyle w:val="ListBullet"/>
        <w:spacing w:after="0"/>
      </w:pPr>
      <w:r>
        <w:rPr>
          <w:sz w:val="17"/>
        </w:rPr>
        <w:t>Electrical testing and certification</w:t>
      </w:r>
    </w:p>
    <w:p>
      <w:pPr>
        <w:pStyle w:val="ListBullet"/>
        <w:spacing w:after="0"/>
      </w:pPr>
      <w:r>
        <w:rPr>
          <w:sz w:val="17"/>
        </w:rPr>
        <w:t>Electrical works — allowance per the contractor instruction</w:t>
      </w:r>
    </w:p>
    <w:p>
      <w:pPr>
        <w:pStyle w:val="ListBullet"/>
        <w:spacing w:after="0"/>
      </w:pPr>
      <w:r>
        <w:rPr>
          <w:sz w:val="17"/>
        </w:rPr>
        <w:t>First fix wiring - kitchen appliance circuits</w:t>
      </w:r>
    </w:p>
    <w:p>
      <w:pPr>
        <w:pStyle w:val="ListBullet"/>
        <w:spacing w:after="0"/>
      </w:pPr>
      <w:r>
        <w:rPr>
          <w:sz w:val="17"/>
        </w:rPr>
        <w:t>First fix wiring - lighting circuits</w:t>
      </w:r>
    </w:p>
    <w:p>
      <w:pPr>
        <w:pStyle w:val="ListBullet"/>
        <w:spacing w:after="0"/>
      </w:pPr>
      <w:r>
        <w:rPr>
          <w:sz w:val="17"/>
        </w:rPr>
        <w:t>First fix wiring - socket circuits</w:t>
      </w:r>
    </w:p>
    <w:p>
      <w:pPr>
        <w:pStyle w:val="ListBullet"/>
        <w:spacing w:after="0"/>
      </w:pPr>
      <w:r>
        <w:rPr>
          <w:sz w:val="17"/>
        </w:rPr>
        <w:t>Install mechanical ventilation (MVHR if specified)</w:t>
      </w:r>
    </w:p>
    <w:p>
      <w:pPr>
        <w:pStyle w:val="ListBullet"/>
        <w:spacing w:after="0"/>
      </w:pPr>
      <w:r>
        <w:rPr>
          <w:sz w:val="17"/>
        </w:rPr>
        <w:t>Second fix electrics - light fittings</w:t>
      </w:r>
    </w:p>
    <w:p>
      <w:pPr>
        <w:pStyle w:val="ListBullet"/>
        <w:spacing w:after="0"/>
      </w:pPr>
      <w:r>
        <w:rPr>
          <w:sz w:val="17"/>
        </w:rPr>
        <w:t>Second fix electrics - switches and sockets</w:t>
      </w:r>
    </w:p>
    <w:p>
      <w:pPr>
        <w:pStyle w:val="ListBullet"/>
        <w:spacing w:after="0"/>
      </w:pPr>
      <w:r>
        <w:rPr>
          <w:sz w:val="17"/>
        </w:rPr>
        <w:t>Supply and install external lighting</w:t>
      </w:r>
    </w:p>
    <w:p>
      <w:pPr>
        <w:pStyle w:val="ListBullet"/>
        <w:spacing w:after="0"/>
      </w:pPr>
      <w:r>
        <w:rPr>
          <w:sz w:val="17"/>
        </w:rPr>
        <w:t>Supply and install extract ventilation unit</w:t>
      </w:r>
    </w:p>
    <w:p>
      <w:pPr>
        <w:pStyle w:val="ListBullet"/>
        <w:spacing w:after="0"/>
      </w:pPr>
      <w:r>
        <w:rPr>
          <w:sz w:val="17"/>
        </w:rPr>
        <w:t>Supply and install side lights</w:t>
      </w:r>
    </w:p>
    <w:p>
      <w:pPr>
        <w:pStyle w:val="ListBullet"/>
        <w:spacing w:after="0"/>
      </w:pPr>
      <w:r>
        <w:rPr>
          <w:sz w:val="17"/>
        </w:rPr>
        <w:t>Upgrade consumer unit (if required)</w:t>
      </w: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DECORATION</w:t>
      </w:r>
    </w:p>
    <w:p>
      <w:pPr>
        <w:pStyle w:val="ListBullet"/>
        <w:spacing w:after="0"/>
      </w:pPr>
      <w:r>
        <w:rPr>
          <w:sz w:val="17"/>
        </w:rPr>
        <w:t>Apply reinforcement mesh, base coat and primer</w:t>
      </w:r>
    </w:p>
    <w:p>
      <w:pPr>
        <w:pStyle w:val="ListBullet"/>
        <w:spacing w:after="0"/>
      </w:pPr>
      <w:r>
        <w:rPr>
          <w:sz w:val="17"/>
        </w:rPr>
        <w:t>Emulsion to walls and ceilings (mist coat + finish coats)</w:t>
      </w:r>
    </w:p>
    <w:p>
      <w:pPr>
        <w:pStyle w:val="ListBullet"/>
        <w:spacing w:after="0"/>
      </w:pPr>
      <w:r>
        <w:rPr>
          <w:sz w:val="17"/>
        </w:rPr>
        <w:t>Emulsion to walls and ceilings in existing rooms disturbed by the works</w:t>
      </w:r>
    </w:p>
    <w:p>
      <w:pPr>
        <w:pStyle w:val="ListBullet"/>
        <w:spacing w:after="0"/>
      </w:pPr>
      <w:r>
        <w:rPr>
          <w:sz w:val="17"/>
        </w:rPr>
        <w:t>External masonry paint to new and made-good render</w:t>
      </w:r>
    </w:p>
    <w:p>
      <w:pPr>
        <w:pStyle w:val="ListBullet"/>
        <w:spacing w:after="0"/>
      </w:pPr>
      <w:r>
        <w:rPr>
          <w:sz w:val="17"/>
        </w:rPr>
        <w:t>Gloss finish to external woodwork</w:t>
      </w:r>
    </w:p>
    <w:p>
      <w:pPr>
        <w:pStyle w:val="ListBullet"/>
        <w:spacing w:after="0"/>
      </w:pPr>
      <w:r>
        <w:rPr>
          <w:sz w:val="17"/>
        </w:rPr>
        <w:t>Mist coat and two full coats emulsion to new plaster</w:t>
      </w:r>
    </w:p>
    <w:p>
      <w:pPr>
        <w:pStyle w:val="ListBullet"/>
        <w:spacing w:after="0"/>
      </w:pPr>
      <w:r>
        <w:rPr>
          <w:sz w:val="17"/>
        </w:rPr>
        <w:t>Paint system to new joinery — knot, prime, undercoat and finish</w:t>
      </w:r>
    </w:p>
    <w:p>
      <w:pPr>
        <w:pStyle w:val="ListBullet"/>
        <w:spacing w:after="0"/>
      </w:pPr>
      <w:r>
        <w:rPr>
          <w:sz w:val="17"/>
        </w:rPr>
        <w:t>Prime and undercoat all new woodwork</w:t>
      </w:r>
    </w:p>
    <w:p>
      <w:pPr>
        <w:pStyle w:val="ListBullet"/>
        <w:spacing w:after="0"/>
      </w:pPr>
      <w:r>
        <w:rPr>
          <w:sz w:val="17"/>
        </w:rPr>
        <w:t>Protect finished surfaces and make good on completion</w:t>
      </w:r>
    </w:p>
    <w:p>
      <w:pPr>
        <w:pStyle w:val="ListBullet"/>
        <w:spacing w:after="0"/>
      </w:pPr>
      <w:r>
        <w:rPr>
          <w:sz w:val="17"/>
        </w:rPr>
        <w:t>Tile splashbacks and wet-area walls</w:t>
      </w: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EXTERNAL WORKS &amp; MAKE-GOOD</w:t>
      </w:r>
    </w:p>
    <w:p>
      <w:pPr>
        <w:pStyle w:val="ListBullet"/>
        <w:spacing w:after="0"/>
      </w:pPr>
      <w:r>
        <w:rPr>
          <w:sz w:val="17"/>
        </w:rPr>
        <w:t>Clear and prepare external areas for landscaping</w:t>
      </w:r>
    </w:p>
    <w:p>
      <w:pPr>
        <w:pStyle w:val="ListBullet"/>
        <w:spacing w:after="0"/>
      </w:pPr>
      <w:r>
        <w:rPr>
          <w:sz w:val="17"/>
        </w:rPr>
        <w:t>External render finish</w:t>
      </w:r>
    </w:p>
    <w:p>
      <w:pPr>
        <w:pStyle w:val="ListBullet"/>
        <w:spacing w:after="0"/>
      </w:pPr>
      <w:r>
        <w:rPr>
          <w:sz w:val="17"/>
        </w:rPr>
        <w:t>Lay client-supplied paving slabs to patio and paths</w:t>
      </w:r>
    </w:p>
    <w:p>
      <w:pPr>
        <w:pStyle w:val="ListBullet"/>
        <w:spacing w:after="0"/>
      </w:pPr>
      <w:r>
        <w:rPr>
          <w:sz w:val="17"/>
        </w:rPr>
        <w:t>Make good after services installation</w:t>
      </w:r>
    </w:p>
    <w:p>
      <w:pPr>
        <w:pStyle w:val="ListBullet"/>
        <w:spacing w:after="0"/>
      </w:pPr>
      <w:r>
        <w:rPr>
          <w:sz w:val="17"/>
        </w:rPr>
        <w:t>Make good existing walls after demolition</w:t>
      </w:r>
    </w:p>
    <w:p>
      <w:pPr>
        <w:pStyle w:val="ListBullet"/>
        <w:spacing w:after="0"/>
      </w:pPr>
      <w:r>
        <w:rPr>
          <w:sz w:val="17"/>
        </w:rPr>
        <w:t>Make good existing walls after opening creation</w:t>
      </w:r>
    </w:p>
    <w:p>
      <w:pPr>
        <w:pStyle w:val="ListBullet"/>
        <w:spacing w:after="0"/>
      </w:pPr>
      <w:r>
        <w:rPr>
          <w:sz w:val="17"/>
        </w:rPr>
        <w:t>Make good external ground levels and drainage falls</w:t>
      </w:r>
    </w:p>
    <w:p>
      <w:pPr>
        <w:pStyle w:val="ListBullet"/>
        <w:spacing w:after="0"/>
      </w:pPr>
      <w:r>
        <w:rPr>
          <w:sz w:val="17"/>
        </w:rPr>
        <w:t>Supply and install fencing</w:t>
      </w:r>
    </w:p>
    <w:p>
      <w:pPr>
        <w:pStyle w:val="ListBullet"/>
        <w:spacing w:after="0"/>
      </w:pPr>
      <w:r>
        <w:rPr>
          <w:sz w:val="17"/>
        </w:rPr>
        <w:t>Supply and lay pathway paving</w:t>
      </w:r>
    </w:p>
    <w:p>
      <w:pPr>
        <w:pStyle w:val="ListBullet"/>
        <w:spacing w:after="0"/>
      </w:pPr>
      <w:r>
        <w:rPr>
          <w:sz w:val="17"/>
        </w:rPr>
        <w:t>Supply and lay patio paving</w:t>
      </w:r>
    </w:p>
    <w:p>
      <w:pPr>
        <w:pStyle w:val="ListBullet"/>
        <w:spacing w:after="0"/>
      </w:pPr>
      <w:r>
        <w:rPr>
          <w:sz w:val="17"/>
        </w:rPr>
        <w:t>Supply and lay turf</w:t>
      </w:r>
    </w:p>
    <w:p>
      <w:pPr>
        <w:pStyle w:val="ListBullet"/>
        <w:spacing w:after="0"/>
      </w:pPr>
      <w:r>
        <w:rPr>
          <w:sz w:val="17"/>
        </w:rPr>
        <w:t>Supply and plant shrubs and plants</w:t>
      </w:r>
    </w:p>
    <w:p>
      <w:pPr>
        <w:pStyle w:val="ListBullet"/>
        <w:spacing w:after="0"/>
      </w:pPr>
      <w:r>
        <w:rPr>
          <w:sz w:val="17"/>
        </w:rPr>
        <w:t>Supply and spread topsoil for planting areas</w:t>
      </w:r>
    </w:p>
    <w:p>
      <w:pPr>
        <w:spacing w:before="280" w:after="40"/>
      </w:pPr>
      <w:r>
        <w:rPr>
          <w:rFonts w:ascii="Calibri" w:hAnsi="Calibri"/>
          <w:b/>
          <w:color w:val="B87514"/>
          <w:sz w:val="16"/>
        </w:rPr>
        <w:t>RATHER NOT FILL IT IN YOURSELF?</w:t>
      </w:r>
    </w:p>
    <w:p>
      <w:r>
        <w:rPr>
          <w:sz w:val="19"/>
        </w:rPr>
        <w:t xml:space="preserve">Send us the drawings and we'll return a priced, line-by-line bill of quantities under your own name. Your first three quotes are free — </w:t>
      </w:r>
      <w:r>
        <w:rPr>
          <w:b/>
          <w:color w:val="B87514"/>
          <w:sz w:val="19"/>
        </w:rPr>
        <w:t>quotewise.build</w:t>
      </w:r>
    </w:p>
    <w:sectPr w:rsidR="00FC693F" w:rsidRPr="0006063C" w:rsidSect="00034616">
      <w:footerReference w:type="default" r:id="rId10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8578"/>
        <w:sz w:val="14"/>
      </w:rPr>
      <w:t>Template by QuoteWise · quotewise.build · AI ESTIMATE QUOTING SERVICE LTD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A1A18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